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714E09" w:rsidRDefault="008A7930" w:rsidP="00714E09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7F542D" w:rsidRPr="00714E09" w:rsidRDefault="00714E09" w:rsidP="00714E09">
      <w:pPr>
        <w:widowControl/>
        <w:suppressAutoHyphens w:val="0"/>
        <w:spacing w:line="276" w:lineRule="auto"/>
        <w:jc w:val="both"/>
        <w:rPr>
          <w:i/>
        </w:rPr>
      </w:pPr>
      <w:r w:rsidRPr="00714E09">
        <w:rPr>
          <w:b/>
          <w:i/>
        </w:rPr>
        <w:t xml:space="preserve"> </w:t>
      </w:r>
      <w:r w:rsidR="007F542D" w:rsidRPr="00714E09">
        <w:rPr>
          <w:b/>
          <w:i/>
        </w:rPr>
        <w:t xml:space="preserve">„Remont elewacji budynku mieszkalnego przy ul. Opatowskiej 17 w Sandomierzu”                        </w:t>
      </w:r>
    </w:p>
    <w:p w:rsidR="0080610B" w:rsidRDefault="0080610B" w:rsidP="0080610B">
      <w:pPr>
        <w:widowControl/>
        <w:suppressAutoHyphens w:val="0"/>
        <w:spacing w:line="360" w:lineRule="auto"/>
        <w:jc w:val="both"/>
        <w:rPr>
          <w:lang w:val="pl-PL"/>
        </w:rPr>
      </w:pP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714E09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</w:t>
      </w:r>
      <w:r w:rsidR="00714E09">
        <w:rPr>
          <w:lang w:val="pl-PL"/>
        </w:rPr>
        <w:t xml:space="preserve">                            </w:t>
      </w:r>
      <w:r w:rsidR="006B3126" w:rsidRPr="00E5734F">
        <w:rPr>
          <w:lang w:val="pl-PL"/>
        </w:rPr>
        <w:t xml:space="preserve">lub do dostarczenia rzeczy wolnej od wad, jeśli wady te ujawnią się w ciągu terminu określonego </w:t>
      </w:r>
      <w:r w:rsidR="00714E09">
        <w:rPr>
          <w:lang w:val="pl-PL"/>
        </w:rPr>
        <w:t xml:space="preserve">                      </w:t>
      </w:r>
      <w:r w:rsidR="006B3126" w:rsidRPr="00E5734F">
        <w:rPr>
          <w:lang w:val="pl-PL"/>
        </w:rPr>
        <w:t>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na wolną od wad w wysokości 0,</w:t>
      </w:r>
      <w:r w:rsidR="00A526D0">
        <w:rPr>
          <w:lang w:val="pl-PL"/>
        </w:rPr>
        <w:t>1</w:t>
      </w:r>
      <w:bookmarkStart w:id="1" w:name="_GoBack"/>
      <w:bookmarkEnd w:id="1"/>
      <w:r w:rsidR="00D3284E">
        <w:rPr>
          <w:lang w:val="pl-PL"/>
        </w:rPr>
        <w:t>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714E09" w:rsidRDefault="00714E09" w:rsidP="008A7930">
      <w:pPr>
        <w:spacing w:line="360" w:lineRule="auto"/>
        <w:jc w:val="center"/>
        <w:rPr>
          <w:b/>
        </w:rPr>
      </w:pPr>
    </w:p>
    <w:p w:rsidR="00714E09" w:rsidRDefault="00714E09" w:rsidP="008A7930">
      <w:pPr>
        <w:spacing w:line="360" w:lineRule="auto"/>
        <w:jc w:val="center"/>
        <w:rPr>
          <w:b/>
        </w:rPr>
      </w:pPr>
    </w:p>
    <w:p w:rsidR="00714E09" w:rsidRDefault="00714E09" w:rsidP="008A7930">
      <w:pPr>
        <w:spacing w:line="360" w:lineRule="auto"/>
        <w:jc w:val="center"/>
        <w:rPr>
          <w:b/>
        </w:rPr>
      </w:pPr>
    </w:p>
    <w:p w:rsidR="00714E09" w:rsidRPr="00AF3416" w:rsidRDefault="00714E09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 xml:space="preserve">Wykonawca obowiązany jest z udziałem Użytkownika oraz Zamawiającego przeprowadzić </w:t>
      </w:r>
      <w:r w:rsidR="00714E09">
        <w:rPr>
          <w:lang w:val="pl-PL"/>
        </w:rPr>
        <w:t xml:space="preserve">                     </w:t>
      </w:r>
      <w:r w:rsidR="00F87406" w:rsidRPr="00E5734F">
        <w:rPr>
          <w:lang w:val="pl-PL"/>
        </w:rPr>
        <w:t>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</w:t>
      </w:r>
      <w:r w:rsidR="00714E09">
        <w:rPr>
          <w:lang w:val="pl-PL"/>
        </w:rPr>
        <w:t xml:space="preserve">                                  </w:t>
      </w:r>
      <w:r w:rsidRPr="00AF3416">
        <w:rPr>
          <w:lang w:val="pl-PL"/>
        </w:rPr>
        <w:t xml:space="preserve">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Z każdego przeglądu gwarancyjnego sporządza się szczegółowy Protokół Przeglądu Gwarancyjnego, w co najmniej dwóch egzemplarzach, po jednym dla Zamawiającego </w:t>
      </w:r>
      <w:r w:rsidR="00714E09">
        <w:rPr>
          <w:lang w:val="pl-PL"/>
        </w:rPr>
        <w:t xml:space="preserve">                                       </w:t>
      </w:r>
      <w:r w:rsidRPr="00AF3416">
        <w:rPr>
          <w:lang w:val="pl-PL"/>
        </w:rPr>
        <w:t>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714E09" w:rsidRDefault="00714E09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714E09" w:rsidRDefault="00714E09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714E09" w:rsidRDefault="00714E09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714E09" w:rsidRPr="00AF3416" w:rsidRDefault="00714E09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przypadku, kiedy ujawniona wada ogranicza lub uniemożliwia działanie części lub całości przedmiotu Umowy, a także, gdy ujawniona wada może skutkować zagrożeniem dla życia </w:t>
      </w:r>
      <w:r w:rsidR="00714E09">
        <w:rPr>
          <w:lang w:val="pl-PL"/>
        </w:rPr>
        <w:t xml:space="preserve">                         </w:t>
      </w:r>
      <w:r w:rsidRPr="00AF3416">
        <w:rPr>
          <w:lang w:val="pl-PL"/>
        </w:rPr>
        <w:t xml:space="preserve">lub zdrowia ludzi, zanieczyszczeniem środowiska, wystąpieniem niepowetowanej szkody </w:t>
      </w:r>
      <w:r w:rsidR="00714E09">
        <w:rPr>
          <w:lang w:val="pl-PL"/>
        </w:rPr>
        <w:t xml:space="preserve">                         </w:t>
      </w:r>
      <w:r w:rsidRPr="00AF3416">
        <w:rPr>
          <w:lang w:val="pl-PL"/>
        </w:rPr>
        <w:t>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</w:t>
      </w:r>
      <w:r w:rsidR="00714E09">
        <w:rPr>
          <w:lang w:val="pl-PL"/>
        </w:rPr>
        <w:t xml:space="preserve">                </w:t>
      </w:r>
      <w:r w:rsidR="00272507" w:rsidRPr="00AF3416">
        <w:rPr>
          <w:lang w:val="pl-PL"/>
        </w:rPr>
        <w:t xml:space="preserve"> 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714E09">
        <w:rPr>
          <w:lang w:val="pl-PL"/>
        </w:rPr>
        <w:t xml:space="preserve">    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714E09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714E09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714E09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714E09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714E09" w:rsidRPr="00AF3416" w:rsidRDefault="00714E09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>rzymania</w:t>
      </w:r>
      <w:r w:rsidR="00714E09">
        <w:rPr>
          <w:lang w:val="pl-PL"/>
        </w:rPr>
        <w:t xml:space="preserve">            </w:t>
      </w:r>
      <w:r w:rsidRPr="00AF3416">
        <w:rPr>
          <w:lang w:val="pl-PL"/>
        </w:rPr>
        <w:t xml:space="preserve"> 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714E09">
        <w:rPr>
          <w:lang w:val="pl-PL"/>
        </w:rPr>
        <w:t xml:space="preserve">     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714E09">
        <w:rPr>
          <w:lang w:val="pl-PL"/>
        </w:rPr>
        <w:t xml:space="preserve">                      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1F6" w:rsidRDefault="002621F6">
      <w:r>
        <w:separator/>
      </w:r>
    </w:p>
  </w:endnote>
  <w:endnote w:type="continuationSeparator" w:id="0">
    <w:p w:rsidR="002621F6" w:rsidRDefault="0026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1F6" w:rsidRDefault="002621F6">
      <w:r>
        <w:separator/>
      </w:r>
    </w:p>
  </w:footnote>
  <w:footnote w:type="continuationSeparator" w:id="0">
    <w:p w:rsidR="002621F6" w:rsidRDefault="0026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19CE"/>
    <w:rsid w:val="000539AB"/>
    <w:rsid w:val="000969C6"/>
    <w:rsid w:val="000A11E5"/>
    <w:rsid w:val="000D583E"/>
    <w:rsid w:val="000D6220"/>
    <w:rsid w:val="000D6D42"/>
    <w:rsid w:val="00103923"/>
    <w:rsid w:val="0010742E"/>
    <w:rsid w:val="00147F1D"/>
    <w:rsid w:val="0015101F"/>
    <w:rsid w:val="00152EB9"/>
    <w:rsid w:val="0018058A"/>
    <w:rsid w:val="00194EFB"/>
    <w:rsid w:val="00196F34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66C7"/>
    <w:rsid w:val="002621F6"/>
    <w:rsid w:val="00265532"/>
    <w:rsid w:val="00272507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3126"/>
    <w:rsid w:val="006B6BFD"/>
    <w:rsid w:val="006F1595"/>
    <w:rsid w:val="006F2247"/>
    <w:rsid w:val="00714E09"/>
    <w:rsid w:val="00715EB4"/>
    <w:rsid w:val="00720C3A"/>
    <w:rsid w:val="00730633"/>
    <w:rsid w:val="00750714"/>
    <w:rsid w:val="0075226F"/>
    <w:rsid w:val="007621FA"/>
    <w:rsid w:val="00781A74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3F9C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26D0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EE93F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4</cp:revision>
  <cp:lastPrinted>2016-05-19T10:09:00Z</cp:lastPrinted>
  <dcterms:created xsi:type="dcterms:W3CDTF">2019-02-14T13:46:00Z</dcterms:created>
  <dcterms:modified xsi:type="dcterms:W3CDTF">2019-12-13T08:47:00Z</dcterms:modified>
</cp:coreProperties>
</file>